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BeArbThG</w:t>
      </w:r>
    </w:p>
    <w:p>
      <w:r>
        <w:rPr>
          <w:color w:val="555555"/>
          <w:sz w:val="18"/>
        </w:rPr>
        <w:t xml:space="preserve">Ergotherapeutengesetz</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Ergotherapeuten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Ergotherapeuten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Ergotherapeuten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 Nachweis in beliebiger Form darüber, dass der Dienstleister eine dem Beruf des Ergotherapeuten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Ergotherapeuten-Ausbildungs- und Prüfungsverordnung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Ergotherapeuten auf Grund einer Erlaubnis nach § 1 Abs. 1 ausüben, sind auf Antrag für Zwecke der Dienstleistungserbringung in einem anderen Vertragsstaat des Europäischen Wirtschaftsraumes Bescheinigungen darüber auszustellen, dass</w:t>
      </w:r>
    </w:p>
    <w:p>
      <w:pPr>
        <w:ind w:left="420"/>
      </w:pPr>
      <w:r>
        <w:t xml:space="preserve">1. sie als „Ergotherapeutin“ oder „Ergotherapeut“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5a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