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BeArbThG</w:t>
      </w:r>
    </w:p>
    <w:p>
      <w:r>
        <w:rPr>
          <w:color w:val="555555"/>
          <w:sz w:val="18"/>
        </w:rPr>
        <w:t xml:space="preserve">Ergotherapeutengesetz</w:t>
      </w:r>
    </w:p>
    <w:p>
      <w:r>
        <w:rPr>
          <w:color w:val="555555"/>
          <w:sz w:val="18"/>
        </w:rPr>
        <w:t xml:space="preserve">Stand: 10.06.2019 (konsolidierte Textfassung, kein amtliches Inkrafttretensdatum)</w:t>
      </w:r>
    </w:p>
    <w:p>
      <w:r>
        <w:t xml:space="preserve">(1) Die zuständigen Behörden des Landes, in dem der Beruf des Ergotherapeuten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Ergotherapeuten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