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BbgZwVbG (Brandenburg) — Inkrafttreten</w:t>
      </w:r>
    </w:p>
    <w:p>
      <w:r>
        <w:rPr>
          <w:color w:val="555555"/>
          <w:sz w:val="18"/>
        </w:rPr>
        <w:t xml:space="preserve">Brandenburgisches Zweckentfremdungsverbotsgesetz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Einzelnorm</w:t>
      </w:r>
    </w:p>
    <w:p>
      <w:r>
        <w:t xml:space="preserve">Potsdam, den 5. Juni 2019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Britta Stark</w:t>
      </w:r>
    </w:p>
    <w:p>
      <w:r>
        <w:rPr>
          <w:color w:val="555555"/>
          <w:sz w:val="17"/>
        </w:rPr>
        <w:t xml:space="preserve">Zitiervorschlag: § 9 BbgZwVbG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https://recht.nulegal.eu/gesetze/BbgZwVbG/9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