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BbgZwVbG (Brandenburg) — Evaluierung</w:t>
      </w:r>
    </w:p>
    <w:p>
      <w:r>
        <w:rPr>
          <w:color w:val="555555"/>
          <w:sz w:val="18"/>
        </w:rPr>
        <w:t xml:space="preserve">Brandenburgisches Zweckentfremdungsverbotsgesetz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Acht Jahre nach Inkrafttreten dieses Gesetzes berichtet die Landesregierung dem Landtag über die Erfahrungen mit der Anwendung des 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BbgZwVbG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https://recht.nulegal.eu/gesetze/BbgZwVbG/8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