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BbgZwVbG (Brandenburg) — Ordnungswidrigkeiten</w:t>
      </w:r>
    </w:p>
    <w:p>
      <w:r>
        <w:rPr>
          <w:color w:val="555555"/>
          <w:sz w:val="18"/>
        </w:rPr>
        <w:t xml:space="preserve">Brandenburgisches Zweckentfremdungsverbotsgesetz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ohne erforderliche Genehmigung nach § 2 Wohnraum anderen als Wohnzwecken zuführt,</w:t>
      </w:r>
    </w:p>
    <w:p>
      <w:r>
        <w:t xml:space="preserve">einer unanfechtbaren Anordnung nach § 3 nicht oder nicht fristgemäß nachkommt oder</w:t>
      </w:r>
    </w:p>
    <w:p>
      <w:r>
        <w:t xml:space="preserve">entgegen § 4 Absatz 1 Auskünfte nicht, nicht richtig oder nicht vollständig erteilt oder Unterlagen nicht oder nicht vollständig oder unrichtige Unterlagen vorlegt.</w:t>
      </w:r>
    </w:p>
    <w:p>
      <w:r>
        <w:t xml:space="preserve">(2) Die Ordnungswidrigkeit kann mit einer Geldbuße bis zu 100 000 Euro geahndet werden.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7 BbgZwVbG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https://recht.nulegal.eu/gesetze/BbgZwVbG/7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