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BbgZwVbG (Brandenburg) — Genehmigung</w:t>
      </w:r>
    </w:p>
    <w:p>
      <w:r>
        <w:rPr>
          <w:color w:val="555555"/>
          <w:sz w:val="18"/>
        </w:rPr>
        <w:t xml:space="preserve">Brandenburgisches Zweckentfremdungsverbotsgesetz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Genehmigung</w:t>
      </w:r>
    </w:p>
    <w:p>
      <w:r>
        <w:t xml:space="preserve">ist zu erteilen, wenn vorrangige öffentliche Interessen oder schutzwürdige private Interessen das Interesse an der Erhaltung des Wohnraums überwiegen,</w:t>
      </w:r>
    </w:p>
    <w:p>
      <w:r>
        <w:t xml:space="preserve">kann erteilt werden, wenn dem Interesse an der Erhaltung des Wohnraums durch Ausgleichsmaßnahmen in verlässlicher und angemessener Weise Rechnung getragen wird; dies kann durch Bereitstellung von Ersatzwohnraum oder durch eine Ausgleichszahlung geschehen.</w:t>
      </w:r>
    </w:p>
    <w:p>
      <w:r>
        <w:t xml:space="preserve">(2) Schutzwürdige private Interessen im Sinne des Absatzes 1 Nummer 1 sind im Regelfall auch dann gegeben, wenn die dinglich Verfügungsberechtigten oder die Besitzer ihre Hauptwohnung, in der der tatsächliche Lebensmittelpunkt begründet wird, während ihrer Abwesenheitszeiten zu anderen als Wohnzwecken verwenden und der Charakter als Hauptwohnung nicht angetastet wird.</w:t>
      </w:r>
    </w:p>
    <w:p>
      <w:r>
        <w:t xml:space="preserve">(3) Schutzwürdige private Interessen im Sinne des Absatzes 1 Nummer 1 sind auch dann gegeben, wenn sich im Vertrauen auf die bisherige Rechtslage getätigte Investitionen in einer anderen Nutzung noch nicht substanziell amortisiert haben.</w:t>
      </w:r>
    </w:p>
    <w:p>
      <w:r>
        <w:t xml:space="preserve">(4) Die Genehmigung kann befristet und mit Auflagen erteilt werden.</w:t>
      </w:r>
    </w:p>
    <w:p>
      <w:r>
        <w:t xml:space="preserve">(5) Die Genehmigung wirkt für und gegen den Rechtsnachfolger. Das Gleiche gilt für Personen, die den Besitz nach Erteilung der Genehmigung erlangt haben.</w:t>
      </w:r>
    </w:p>
    <w:p>
      <w:r>
        <w:t xml:space="preserve">Einzelnorm</w:t>
      </w:r>
    </w:p>
    <w:p>
      <w:r>
        <w:rPr>
          <w:color w:val="555555"/>
          <w:sz w:val="17"/>
        </w:rPr>
        <w:t xml:space="preserve">Zitiervorschlag: § 2 BbgZwVbG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https://recht.nulegal.eu/gesetze/BbgZwVbG/2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