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BbgWolfV (Brandenburg) — Inkrafttreten, Außerkrafttreten</w:t>
      </w:r>
    </w:p>
    <w:p>
      <w:r>
        <w:rPr>
          <w:color w:val="555555"/>
          <w:sz w:val="18"/>
        </w:rPr>
        <w:t xml:space="preserve">Brandenburgische Wolfsverordnung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01.09.2026 (konsolidierte Textfassung, kein amtliches Inkrafttretensdatum)</w:t>
      </w:r>
    </w:p>
    <w:p>
      <w:r>
        <w:t xml:space="preserve">Diese Verordnung tritt am Tag nach der Verkündung in Kraft. Gleichzeitig tritt die Brandenburgische Wolfsverordnung vom 26. Januar 2018 (GVBl. II Nr. 8) außer Kraft.</w:t>
      </w:r>
    </w:p>
    <w:p>
      <w:r>
        <w:t xml:space="preserve">Potsdam, den 29. August 2022</w:t>
      </w:r>
    </w:p>
    <w:p>
      <w:r>
        <w:t xml:space="preserve">Der Minister für Landwirtschaft,</w:t>
      </w:r>
    </w:p>
    <w:p>
      <w:r>
        <w:t xml:space="preserve">Umwelt und Klimaschutz</w:t>
      </w:r>
    </w:p>
    <w:p>
      <w:r>
        <w:t xml:space="preserve">Axel Vogel</w:t>
      </w:r>
    </w:p>
    <w:p>
      <w:r>
        <w:rPr>
          <w:color w:val="555555"/>
          <w:sz w:val="17"/>
        </w:rPr>
        <w:t xml:space="preserve">Zitiervorschlag: § 13 BbgWolfV (Brandenburg)</w:t>
      </w:r>
    </w:p>
    <w:p>
      <w:r>
        <w:rPr>
          <w:color w:val="555555"/>
          <w:sz w:val="17"/>
        </w:rPr>
        <w:t xml:space="preserve">Quelle: bravors, abgerufen 01.09.2026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https://recht.nulegal.eu/gesetze/BbgWolfV/13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