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BbgWoFG (Brandenburg) — Förderinstrumente</w:t>
      </w:r>
    </w:p>
    <w:p>
      <w:r>
        <w:rPr>
          <w:color w:val="555555"/>
          <w:sz w:val="18"/>
        </w:rPr>
        <w:t xml:space="preserve">Brandenburgisches Wohnraumförderungsgesetz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Förderung kann erfolgen durch</w:t>
      </w:r>
    </w:p>
    <w:p>
      <w:r>
        <w:t xml:space="preserve">Gewährung von vergünstigten Darlehen,</w:t>
      </w:r>
    </w:p>
    <w:p>
      <w:r>
        <w:t xml:space="preserve">Gewährung von Zuschüssen,</w:t>
      </w:r>
    </w:p>
    <w:p>
      <w:r>
        <w:t xml:space="preserve">Übernahme von Bürgschaften oder</w:t>
      </w:r>
    </w:p>
    <w:p>
      <w:r>
        <w:t xml:space="preserve">sonstige geldwerte Leistungen.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9 BbgWoFG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https://recht.nulegal.eu/gesetze/BbgWoFG/9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