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BbgWoFG (Brandenburg) — Fördergegenstände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Insbesondere können gefördert werden</w:t>
      </w:r>
    </w:p>
    <w:p>
      <w:r>
        <w:t xml:space="preserve">Wohnungsbau, einschließlich des Ersterwerbs,</w:t>
      </w:r>
    </w:p>
    <w:p>
      <w:r>
        <w:t xml:space="preserve">Modernisierung von Wohnraum,</w:t>
      </w:r>
    </w:p>
    <w:p>
      <w:r>
        <w:t xml:space="preserve">Erwerb bestehenden Wohnraums,</w:t>
      </w:r>
    </w:p>
    <w:p>
      <w:r>
        <w:t xml:space="preserve">Instandsetzungen in Verbindung mit Modernisierungsmaßnahmen,</w:t>
      </w:r>
    </w:p>
    <w:p>
      <w:r>
        <w:t xml:space="preserve">Maßnahmen zum Abbau von Barrieren bei bestehendem Wohnraum oder</w:t>
      </w:r>
    </w:p>
    <w:p>
      <w:r>
        <w:t xml:space="preserve">Erwerb von Belegungsrechten an bestehendem Wohnraum.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