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BbgWoFG (Brandenburg) — Förderprogramme und Verfahren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Wohnungswesen zuständige Ministerium erlässt Verwaltungsvorschriften über Voraussetzungen der Förderung und deren Durchführung. Näheres regeln § 44 der Brandenburgischen Landeshaushaltsordnung und die hierzu erlassenen Verwaltungsvorschriften.</w:t>
      </w:r>
    </w:p>
    <w:p>
      <w:r>
        <w:t xml:space="preserve">(2) Die Förderung erfolgt über einen angemessenen Zeitraum in einem offenen, transparenten und diskriminierungsfreien Verfahren. Sie muss dem Förderzweck angemessen 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