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BbgWoFG (Brandenburg) — Fördermittel und Rückflüsse</w:t>
      </w:r>
    </w:p>
    <w:p>
      <w:r>
        <w:rPr>
          <w:color w:val="555555"/>
          <w:sz w:val="18"/>
        </w:rPr>
        <w:t xml:space="preserve">Brandenburgisches Wohnraumförderungsgesetz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soziale Wohnraumförderung durch das Land erfolgt aus dem Wohnungsbauvermögen des Landes Brandenburg. Zur Höhe des Neubewilligungsvolumens wird auf § 1 Absatz 3 Satz 4 des Gesetzes über das Wohnungsbauvermögen des Landes Brandenburg vom 17. Dezember 1996 ( GVBl. I S. 358, 362), das zuletzt durch Artikel 3 des Gesetzes vom 15. Oktober 2018 (GVBl. I Nr. 25 S. 10) geändert worden ist, in der jeweils geltenden Fassung verwiesen.</w:t>
      </w:r>
    </w:p>
    <w:p>
      <w:r>
        <w:t xml:space="preserve">(2) Geldleistungen und Ausgleichzahlungen nach § 17 Absatz 2, § 18 Absatz 2 Satz 1 Nummer 3 und § 28 Absatz 1 fließen in das Wohnungsbauvermögen des Landes Brandenburg und sind zweckgebunden für die soziale Wohnraumförderung zu verwenden.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6 BbgWoFG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https://recht.nulegal.eu/gesetze/BbgWoFG/6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