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BbgWoFG (Brandenburg) — Fördergrundsätze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der Förderung sollen insbesondere berücksichtigt werden</w:t>
      </w:r>
    </w:p>
    <w:p>
      <w:r>
        <w:t xml:space="preserve">die örtlichen und regionalen wohnungswirtschaftlichen Verhältnisse sowie die unterschiedlichen Investitionsbedingungen der Bauherrin oder des Bauherrn,</w:t>
      </w:r>
    </w:p>
    <w:p>
      <w:r>
        <w:t xml:space="preserve">die besonderen Anforderungen des zu versorgenden Personenkreises, insbesondere die des barrierefreien Bauens,</w:t>
      </w:r>
    </w:p>
    <w:p>
      <w:r>
        <w:t xml:space="preserve">der Beitrag des genossenschaftlichen Wohnens zur Erreichung der Ziele der Wohnraumförderung,</w:t>
      </w:r>
    </w:p>
    <w:p>
      <w:r>
        <w:t xml:space="preserve">die Schaffung und Erhaltung sozial stabiler Bewohnerstrukturen,</w:t>
      </w:r>
    </w:p>
    <w:p>
      <w:r>
        <w:t xml:space="preserve">die Schaffung und Erhaltung ausgewogener Siedlungsstrukturen sowie ausgeglichener wirtschaftlicher, sozialer und kultureller Verhältnisse,</w:t>
      </w:r>
    </w:p>
    <w:p>
      <w:r>
        <w:t xml:space="preserve">die funktional sinnvolle Zuordnung der Wohnbereiche zu den Arbeitsplätzen und der Infrastruktur sowie die ausreichende Anbindung des zu fördernden Wohnraums an den öffentlichen Personennahverkehr,</w:t>
      </w:r>
    </w:p>
    <w:p>
      <w:r>
        <w:t xml:space="preserve">die Nutzung des Wohnungs- und Gebäudebestandes,</w:t>
      </w:r>
    </w:p>
    <w:p>
      <w:r>
        <w:t xml:space="preserve">die Erhaltung preisgünstigen Wohnraums im Fall der Förderung der Modernisierung und</w:t>
      </w:r>
    </w:p>
    <w:p>
      <w:r>
        <w:t xml:space="preserve">der Einsatz kostensparender, energieeffizienter, insbesondere ökologischer und ressourcenschonender Bauweisen.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