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BbgWoFG (Brandenburg) — Beteiligung der Gemeinden; Verordnungsermächtigung</w:t>
      </w:r>
    </w:p>
    <w:p>
      <w:r>
        <w:rPr>
          <w:color w:val="555555"/>
          <w:sz w:val="18"/>
        </w:rPr>
        <w:t xml:space="preserve">Brandenburgisches Wohnraumförderungsgesetz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Förderung nach diesem Gesetz ist Aufgabe des Landes. Die Gemeinden und Gemeindeverbände können mit eigenen Mitteln eine Förderung nach diesem Gesetz durchführen.</w:t>
      </w:r>
    </w:p>
    <w:p>
      <w:r>
        <w:t xml:space="preserve">(2) Die wohnungspolitischen Belange der Gemeinden und der Gemeindeverbände sollen bei der sozialen Wohnraumförderung berücksichtigt werden; dies gilt insbesondere, wenn diese sich mit eigenen Mitteln an der Förderung beteiligen oder Wohnraumkonzepte vorlegen. Vor der Entscheidung über die Vergabe der Fördermittel ist die örtliche Gemeinde zu beteiligen.</w:t>
      </w:r>
    </w:p>
    <w:p>
      <w:r>
        <w:t xml:space="preserve">(3) Das für Wohnungswesen zuständige Mitglied der Landesregierung wird ermächtigt, durch Rechtsverordnung Gebiete mit erhöhtem Wohnungsbedarf zu bestimmen. In einem Gebiet nach Satz 1 besteht ein Benennungsrecht der zuständigen Stelle nach § 3 Absatz 11. In der Verordnung können Bestimmungen getroffen werden, nach welchen Kriterien die Benennung erfolgen soll.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BbgWoFG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https://recht.nulegal.eu/gesetze/BbgWoFG/4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