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BbgWoFG (Brandenburg) — Übergangsvorschrift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Wohnraum, der nach dem Zweiten Wohnungsbaugesetz in der Fassung der Bekanntmachung vom 19. August 1994 (BGBl. I S. 2137), das zuletzt durch Artikel 2 des Gesetzes vom 13. September 2001 (BGBl. I S. 2376, 2393) geändert worden ist, oder dem Wohnraumförderungsgesetz vom 13. September 2001 (BGBl. I S. 2376), das zuletzt durch Artikel 3 des Gesetzes vom 2. Oktober 2015 (BGBl. I S. 1610, 1612) geändert worden ist, gefördert worden ist, finden die bisher geltenden Vorschriften weiter Anwendung, soweit nicht in Absatz 2 Abweichendes bestimmt ist.</w:t>
      </w:r>
    </w:p>
    <w:p>
      <w:r>
        <w:t xml:space="preserve">(2) Abweichend von Absatz 1 richten sich</w:t>
      </w:r>
    </w:p>
    <w:p>
      <w:r>
        <w:t xml:space="preserve">die Erteilung eines Wohnberechtigungsscheins nach § 14,</w:t>
      </w:r>
    </w:p>
    <w:p>
      <w:r>
        <w:t xml:space="preserve">die Freistellung und Änderung von Belegungs- und Mietbindungen nach § 17,</w:t>
      </w:r>
    </w:p>
    <w:p>
      <w:r>
        <w:t xml:space="preserve">die Sicherung der Zweckbestimmung nach § 18,</w:t>
      </w:r>
    </w:p>
    <w:p>
      <w:r>
        <w:t xml:space="preserve">die Bestimmung der Einkommensgrenzen nach § 22 und</w:t>
      </w:r>
    </w:p>
    <w:p>
      <w:r>
        <w:t xml:space="preserve">die Einkommensermittlung nach den §§ 23 bis 26.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