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BbgWoFG (Brandenburg) — Einkommensermittlung</w:t>
      </w:r>
    </w:p>
    <w:p>
      <w:r>
        <w:rPr>
          <w:color w:val="555555"/>
          <w:sz w:val="18"/>
        </w:rPr>
        <w:t xml:space="preserve">Brandenburgisches Wohnraumförderungsgesetz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nach diesem Gesetz maßgebende Jahreseinkommen ist nach den §§ 14 bis 16 des Wohngeldgesetzes vom 24. September 2008 (BGBl. I S. 1856), das zuletzt durch Artikel 22 Absatz 4 des Gesetzes vom 11. November 2016 (BGBl. I S. 2500, 2515) geändert worden ist, in der jeweils geltenden Fassung zu berechnen, soweit dieses Gesetz nichts anderes bestimmt. Wohngeldrechtliche Vorschriften, die sich allein auf Wohngeld beziehen, sind dabei nicht anzuwenden.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24 BbgWoFG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https://recht.nulegal.eu/gesetze/BbgWoFG/24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