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BbgWoFG (Brandenburg) — Ziele, Zielgruppen</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Ziel der sozialen Wohnraumförderung ist die Unterstützung von Haushalten, die sich am Markt nicht angemessen mit Wohnraum versorgen können, bei der Versorgung mit Mietwohnraum einschließlich Genossenschaftswohnraum oder mit selbst genutztem Wohneigentum.</w:t>
      </w:r>
    </w:p>
    <w:p>
      <w:r>
        <w:t xml:space="preserve">(2) Weitere Ziele der sozialen Wohnraumförderung sind die Erhaltung und Schaffung stabiler Wohn- und Nachbarschaftsverhältnisse, Bewohner- und Quartiersstrukturen.</w:t>
      </w:r>
    </w:p>
    <w:p>
      <w:r>
        <w:t xml:space="preserve">(3) Die soziale Wohnraumförderung unterstützt den effizienten Einsatz und Verbrauch von Energie bei Wohngebäuden als Beitrag zum Klimaschutz.</w:t>
      </w:r>
    </w:p>
    <w:p>
      <w:r>
        <w:t xml:space="preserve">(4) Zielgruppen der sozialen Wohnraumförderung von Miet- und Genossenschaftswohnraum sind Haushalte nach Absatz 1, insbesondere mit Kindern, älteren Menschen, Menschen mit Behinderungen, Personen in sozialen Notlagen, Studierenden und Auszubildenden.</w:t>
      </w:r>
    </w:p>
    <w:p>
      <w:r>
        <w:t xml:space="preserve">(5) Zielgruppen der sozialen Wohnraumförderung von selbst genutztem Wohneigentum sind Haushalte nach Absatz 1, insbesondere mit Kindern und Menschen mit Behinderungen.</w:t>
      </w:r>
    </w:p>
    <w:p>
      <w:r>
        <w:t xml:space="preserve">Einzelnorm</w:t>
      </w:r>
    </w:p>
    <w:p>
      <w:r>
        <w:rPr>
          <w:color w:val="555555"/>
          <w:sz w:val="17"/>
        </w:rPr>
        <w:t xml:space="preserve">Zitiervorschlag: § 2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