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BbgWoFG (Brandenburg) — Freistellung und Änderung von Bindungen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zuständige Stelle kann die verfügungsberechtigte Person auf Antrag befristet von Bindungen nach den §§ 13 und 15 Absatz 1 freistellen, soweit</w:t>
      </w:r>
    </w:p>
    <w:p>
      <w:r>
        <w:t xml:space="preserve">nach den örtlichen wohnungswirtschaftlichen Verhältnissen ein überwiegendes öffentliches Interesse an der Aufrechterhaltung der Bindungen nicht besteht,</w:t>
      </w:r>
    </w:p>
    <w:p>
      <w:r>
        <w:t xml:space="preserve">an der Freistellung ein überwiegendes öffentliches Interesse besteht, insbesondere wenn die Freistellung der Schaffung oder Erhaltung sozial stabiler Bewohnerstrukturen dient, oder</w:t>
      </w:r>
    </w:p>
    <w:p>
      <w:r>
        <w:t xml:space="preserve">an der Freistellung ein überwiegendes berechtigtes Interesse der verfügungsberechtigten oder einer dritten Person besteht.</w:t>
      </w:r>
    </w:p>
    <w:p>
      <w:r>
        <w:t xml:space="preserve">Freistellungen können für bestimmten Wohnraum, für Wohnraum bestimmter Art oder für Wohnraum in bestimmten Gebieten erteilt werden. Ein Anspruch auf Freistellung besteht nicht.</w:t>
      </w:r>
    </w:p>
    <w:p>
      <w:r>
        <w:t xml:space="preserve">(2) Für die Freistellung ist ein angemessener Ausgleich zu leisten, indem der hierfür zuständigen Stelle Belegungs- und Mietbindungen für Ersatzwohnraum für die Dauer der Freistellung vertraglich eingeräumt werden oder ein Geldausgleich oder ein sonstiger angemessener Ausgleich geleistet wird. Bei einer Freistellung nach Absatz 1 Satz 1 Nummer 1 und 2 kann von einem Ausgleich abgesehen werden.</w:t>
      </w:r>
    </w:p>
    <w:p>
      <w:r>
        <w:t xml:space="preserve">(3) Die Bewilligungsstelle kann Wohnraum vertraglich aus den Belegungs- und Mietbindungen entlassen oder die Belegungs- und Mietbindungen vertraglich ändern, wenn</w:t>
      </w:r>
    </w:p>
    <w:p>
      <w:r>
        <w:t xml:space="preserve">dies der Schaffung oder Erhaltung sozial stabiler Bewohnerstrukturen dient oder aus anderen örtlichen wohnungswirtschaftlichen Gründen geboten ist und</w:t>
      </w:r>
    </w:p>
    <w:p>
      <w:r>
        <w:t xml:space="preserve">an anderem bezugsfertigen und freien Wohnraum Belegungs- und Mietbindungen von insgesamt gleichem Wert eingeräumt werden.</w:t>
      </w:r>
    </w:p>
    <w:p>
      <w:r>
        <w:t xml:space="preserve">Im Fall des Satzes 1 Nummer 2 gilt mit dem Zeitpunkt der Entlassung aus den Bindungen der andere Wohnraum als geförderter Wohnraum.</w:t>
      </w:r>
    </w:p>
    <w:p>
      <w:r>
        <w:t xml:space="preserve">(4) Enthält die Förderzusage eine Bindung zugunsten bestimmter Haushalte, kann die zuständige Stelle von dieser abweichen, wenn der geförderte Wohnraum zu diesem Zeitpunkt von der jeweiligen Gruppe nicht nachgefragt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