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BbgWoFG (Brandenburg) — Belegungsbindung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verfügungsberechtigte Person darf Mietwohnraum nach Maßgabe der Förderzusage einer wohnungssuchenden Person überlassen, wenn sich deren Wohnberechtigung aus einem Wohnberechtigungsschein nach § 14 ergibt. Der Wohnberechtigungsschein ist von der wohnungssuchenden Person vorzulegen. Das gleiche gilt, wenn sich die Wohnberechtigung aus einer Benennung oder Besetzung der zuständigen Stelle ergibt.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