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BbgWoFG (Brandenburg) — Förderzusage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Fördermittel werden auf Antrag durch eine Förderzusage von der Bewilligungsstelle gewährt. Die Förderzusage erfolgt durch öffentlich-rechtlichen Vertrag oder durch Verwaltungsakt und bedarf der Schriftform.</w:t>
      </w:r>
    </w:p>
    <w:p>
      <w:r>
        <w:t xml:space="preserve">(2) Die Förderzusage muss folgende Bestimmungen enthalten:</w:t>
      </w:r>
    </w:p>
    <w:p>
      <w:r>
        <w:t xml:space="preserve">Fördergegenstand,</w:t>
      </w:r>
    </w:p>
    <w:p>
      <w:r>
        <w:t xml:space="preserve">Höhe der Förderung,</w:t>
      </w:r>
    </w:p>
    <w:p>
      <w:r>
        <w:t xml:space="preserve">Art des Fördermittels sowie dessen Verzinsung und Tilgung im Darlehensfall,</w:t>
      </w:r>
    </w:p>
    <w:p>
      <w:r>
        <w:t xml:space="preserve">maßgebliche Einkommensgrenzen,</w:t>
      </w:r>
    </w:p>
    <w:p>
      <w:r>
        <w:t xml:space="preserve">Bindungen nach § 3 Absatz 9 bis 12, §§ 13, 15 und 16 und</w:t>
      </w:r>
    </w:p>
    <w:p>
      <w:r>
        <w:t xml:space="preserve">Rechtsfolgen eines Eigentumswechsels.</w:t>
      </w:r>
    </w:p>
    <w:p>
      <w:r>
        <w:t xml:space="preserve">Weitere, für den jeweiligen Förderzweck erforderliche Bestimmungen können in die Förderzusage aufgenommen werden.</w:t>
      </w:r>
    </w:p>
    <w:p>
      <w:r>
        <w:t xml:space="preserve">(3) Die Förderzusage wirkt auch für und gegen eine Rechtsnachfolgerin oder einen Rechtsnachfolger.</w:t>
      </w:r>
    </w:p>
    <w:p>
      <w:r>
        <w:t xml:space="preserve">(4) Ein Anspruch auf Förderung besteht nicht.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