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BbgWoFG (Brandenburg) — Förderempfängerinnen und Förderempfänger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Empfängerin oder Empfänger der Förderung ist</w:t>
      </w:r>
    </w:p>
    <w:p>
      <w:r>
        <w:t xml:space="preserve">beim Wohnungsbau und der Modernisierung die Bauherrin oder der Bauherr,</w:t>
      </w:r>
    </w:p>
    <w:p>
      <w:r>
        <w:t xml:space="preserve">beim Ersterwerb oder Erwerb bestehenden Wohnraums die Erwerberin oder der Erwerber oder</w:t>
      </w:r>
    </w:p>
    <w:p>
      <w:r>
        <w:t xml:space="preserve">beim Erwerb von Belegungsrechten die verfügungsberechtigte Person.</w:t>
      </w:r>
    </w:p>
    <w:p>
      <w:r>
        <w:t xml:space="preserve">(2) Die Gewährung von Fördermitteln setzt voraus, dass die Förderempfängerin oder der Förderempfänger</w:t>
      </w:r>
    </w:p>
    <w:p>
      <w:r>
        <w:t xml:space="preserve">die erforderliche Leistungsfähigkeit und Zuverlässigkeit besitzt,</w:t>
      </w:r>
    </w:p>
    <w:p>
      <w:r>
        <w:t xml:space="preserve">die Gewähr für eine ordnungsmäßige und wirtschaftliche Durchführung des Bauvorhabens und für eine ordnungsmäßige Verwaltung des Wohnraums bietet,</w:t>
      </w:r>
    </w:p>
    <w:p>
      <w:r>
        <w:t xml:space="preserve">eine angemessene Eigenleistung erbringt,</w:t>
      </w:r>
    </w:p>
    <w:p>
      <w:r>
        <w:t xml:space="preserve">bei der Förderung von selbst genutztem Wohneigentum die Belastung auf Dauer tragen kann und</w:t>
      </w:r>
    </w:p>
    <w:p>
      <w:r>
        <w:t xml:space="preserve">in den Fällen des Absatzes 1 Nummer 1 Eigentum oder eine Erbbauberechtigung an einem geeigneten Baugrundstück hat oder nachweist, dass der Erwerb eines derartigen Grundstücks oder Erbbaurechts gesichert ist oder durch die Gewährung der Fördermittel gesichert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