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BbgWoFG (Brandenburg) — Anwendungsbereich</w:t>
      </w:r>
    </w:p>
    <w:p>
      <w:r>
        <w:rPr>
          <w:color w:val="555555"/>
          <w:sz w:val="18"/>
        </w:rPr>
        <w:t xml:space="preserve">Brandenburgisches Wohnraumförderungsgesetz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Dieses Gesetz regelt die Förderung des Wohnungsbaus und anderer Maßnahmen durch das Land zur Unterstützung von Haushalten bei der Versorgung mit Mietwohnraum und bei der Bildung von selbst genutztem Wohneigentum (soziale Wohnraumförderung).</w:t>
      </w:r>
    </w:p>
    <w:p>
      <w:r>
        <w:t xml:space="preserve">Einzelnorm</w:t>
      </w:r>
    </w:p>
    <w:p>
      <w:r>
        <w:rPr>
          <w:color w:val="555555"/>
          <w:sz w:val="17"/>
        </w:rPr>
        <w:t xml:space="preserve">Zitiervorschlag: § 1 BbgWoFG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https://recht.nulegal.eu/gesetze/BbgWoFG/1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