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BbgWoFEGV (Brandenburg) — Inkrafttreten, Außerkrafttreten</w:t>
      </w:r>
    </w:p>
    <w:p>
      <w:r>
        <w:rPr>
          <w:color w:val="555555"/>
          <w:sz w:val="18"/>
        </w:rPr>
        <w:t xml:space="preserve">Wohnraumförderungseinkommensgrenzenverordnung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Oktober 2019 in Kraft. Gleichzeitig tritt die Wohnraumförderungseinkommensgrenzenverordnung vom 8. Dezember 2015 ( GVBl. II Nr. 64) außer Kraft.</w:t>
      </w:r>
    </w:p>
    <w:p>
      <w:r>
        <w:t xml:space="preserve">Einzelnorm</w:t>
      </w:r>
    </w:p>
    <w:p>
      <w:r>
        <w:t xml:space="preserve">Potsdam, den 6. September 2019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rPr>
          <w:color w:val="555555"/>
          <w:sz w:val="17"/>
        </w:rPr>
        <w:t xml:space="preserve">Zitiervorschlag: § 3 BbgWoFEGV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https://recht.nulegal.eu/gesetze/BbgWoFEGV/3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