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BbgWoFEGV (Brandenburg) — Selbst genutztes Wohneigentum</w:t>
      </w:r>
    </w:p>
    <w:p>
      <w:r>
        <w:rPr>
          <w:color w:val="555555"/>
          <w:sz w:val="18"/>
        </w:rPr>
        <w:t xml:space="preserve">Wohnraumförderungseinkommensgrenzenverordnung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der Förderung von selbst genutztem Wohneigentum dürfen die in § 22 Absatz 2 bis 4 des Brandenburgischen Wohnraumförderungsgesetzes festgelegten Einkommensgrenzen nach Maßgabe der Förderbestimmungen um bis zu 100 Prozent überschritten werden.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 BbgWoFEGV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https://recht.nulegal.eu/gesetze/BbgWoFEGV/2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