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BbgWaBuV (Brandenburg) — Zugang zur Datenbank</w:t>
      </w:r>
    </w:p>
    <w:p>
      <w:r>
        <w:rPr>
          <w:color w:val="555555"/>
          <w:sz w:val="18"/>
        </w:rPr>
        <w:t xml:space="preserve">Brandenburgische Wasserbuchverordnung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Eintragungen sind</w:t>
      </w:r>
    </w:p>
    <w:p>
      <w:r>
        <w:t xml:space="preserve">den Wasserbehörden und bei Betrieben, die der Bergaufsicht unterliegen, dem</w:t>
      </w:r>
    </w:p>
    <w:p>
      <w:r>
        <w:t xml:space="preserve">Landesamt für Bergbau, Geologie und Rohstoffe zur Erfüllung der ihnen</w:t>
      </w:r>
    </w:p>
    <w:p>
      <w:r>
        <w:t xml:space="preserve">obliegenden Aufgaben zugänglich zu machen.</w:t>
      </w:r>
    </w:p>
    <w:p>
      <w:r>
        <w:t xml:space="preserve">(2) Zur Gewährleistung des</w:t>
      </w:r>
    </w:p>
    <w:p>
      <w:r>
        <w:t xml:space="preserve">Informationsrechts der Öffentlichkeit nach § 142 Absatz 2 des Brandenburgischen</w:t>
      </w:r>
    </w:p>
    <w:p>
      <w:r>
        <w:t xml:space="preserve">Wassergesetzes wird ein dienstebasierter Zugriff auf das Wasserbuch über das</w:t>
      </w:r>
    </w:p>
    <w:p>
      <w:r>
        <w:t xml:space="preserve">Internet eröffnet. Personenbezogene Daten der Wasserrechtsinhaber sowie etwaige</w:t>
      </w:r>
    </w:p>
    <w:p>
      <w:r>
        <w:t xml:space="preserve">Betriebs- und Geschäftsgeheimnisse, mit Ausnahme der Emissions-daten, sind dabei</w:t>
      </w:r>
    </w:p>
    <w:p>
      <w:r>
        <w:t xml:space="preserve">für eine Ansicht und gegebenenfalls ein Herunterladen zu sperren.</w:t>
      </w:r>
    </w:p>
    <w:p>
      <w:r>
        <w:rPr>
          <w:color w:val="555555"/>
          <w:sz w:val="17"/>
        </w:rPr>
        <w:t xml:space="preserve">Zitiervorschlag: § 4 BbgWaBuV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https://recht.nulegal.eu/gesetze/BbgWaBuV/4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