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BbgWaBuV (Brandenburg) — Umfang der Eintragung</w:t>
      </w:r>
    </w:p>
    <w:p>
      <w:r>
        <w:rPr>
          <w:color w:val="555555"/>
          <w:sz w:val="18"/>
        </w:rPr>
        <w:t xml:space="preserve">Brandenburgische Wasserbuchverordnung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Datensätze für die</w:t>
      </w:r>
    </w:p>
    <w:p>
      <w:r>
        <w:t xml:space="preserve">Eintragungen in das jeweilige Wasserbuchblatt enthalten mindestens die folgenden</w:t>
      </w:r>
    </w:p>
    <w:p>
      <w:r>
        <w:t xml:space="preserve">Angaben:</w:t>
      </w:r>
    </w:p>
    <w:p>
      <w:r>
        <w:t xml:space="preserve">Wasserbuchblattnummer,</w:t>
      </w:r>
    </w:p>
    <w:p>
      <w:r>
        <w:t xml:space="preserve">Datum, Aktenzeichen, Zulassungsbehörde und gegebenenfalls beteiligte Wasserbehörde, wesentlicher</w:t>
      </w:r>
    </w:p>
    <w:p>
      <w:r>
        <w:t xml:space="preserve">Inhalt unter Bezugnahme auf den Wortlaut der Entscheidung und der wesentlichen</w:t>
      </w:r>
    </w:p>
    <w:p>
      <w:r>
        <w:t xml:space="preserve">Nebenbestimmungen der behördlichen Entscheidung oder Vereinbarung; bei alten</w:t>
      </w:r>
    </w:p>
    <w:p>
      <w:r>
        <w:t xml:space="preserve">Rechten oder Befugnissen der wesentliche Inhalt des Rechts oder der Befugnis,</w:t>
      </w:r>
    </w:p>
    <w:p>
      <w:r>
        <w:t xml:space="preserve">bei Schutzgebieten der Schutzgegenstand und Schutzzweck sowie Datum und</w:t>
      </w:r>
    </w:p>
    <w:p>
      <w:r>
        <w:t xml:space="preserve">Fundstelle der zugrunde liegenden Festsetzung oder Bestimmung,</w:t>
      </w:r>
    </w:p>
    <w:p>
      <w:r>
        <w:t xml:space="preserve">Inhaber des Rechts</w:t>
      </w:r>
    </w:p>
    <w:p>
      <w:r>
        <w:t xml:space="preserve">oder der Befugnis, insbesondere Name und Anschrift; bei einer Mehrheit von</w:t>
      </w:r>
    </w:p>
    <w:p>
      <w:r>
        <w:t xml:space="preserve">Inhabern ist jeder Inhaber einzutragen,</w:t>
      </w:r>
    </w:p>
    <w:p>
      <w:r>
        <w:t xml:space="preserve">Raumbezug der</w:t>
      </w:r>
    </w:p>
    <w:p>
      <w:r>
        <w:t xml:space="preserve">behördlichen Entscheidung oder Vereinbarung, insbesondere Angabe der Koordinaten</w:t>
      </w:r>
    </w:p>
    <w:p>
      <w:r>
        <w:t xml:space="preserve">im einheitlichen Bezugssystem für das Land Brandenburg zu Gemeinde, Flussgebiet</w:t>
      </w:r>
    </w:p>
    <w:p>
      <w:r>
        <w:t xml:space="preserve">sowie zusätzlich – sofern bekannt – zu Flusskilometer, Gemarkung, Flurstück, bei</w:t>
      </w:r>
    </w:p>
    <w:p>
      <w:r>
        <w:t xml:space="preserve">Grenzgewässern auch Grenzabschnitt und Grenzzeichen,</w:t>
      </w:r>
    </w:p>
    <w:p>
      <w:r>
        <w:t xml:space="preserve">Datum der</w:t>
      </w:r>
    </w:p>
    <w:p>
      <w:r>
        <w:t xml:space="preserve">Eintragungen, Änderungen und Löschungen.</w:t>
      </w:r>
    </w:p>
    <w:p>
      <w:r>
        <w:rPr>
          <w:color w:val="555555"/>
          <w:sz w:val="17"/>
        </w:rPr>
        <w:t xml:space="preserve">Zitiervorschlag: § 3 BbgWaBuV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https://recht.nulegal.eu/gesetze/BbgWaBuV/3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