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BbgWaBuV (Brandenburg) — Aufbau und Führung des Wasserbuches, Eintragungen</w:t>
      </w:r>
    </w:p>
    <w:p>
      <w:r>
        <w:rPr>
          <w:color w:val="555555"/>
          <w:sz w:val="18"/>
        </w:rPr>
        <w:t xml:space="preserve">Brandenburgische Wasserbuchverordnung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Wasserbuch besteht aus Wasserbuchblättern.</w:t>
      </w:r>
    </w:p>
    <w:p>
      <w:r>
        <w:t xml:space="preserve">(2) Das</w:t>
      </w:r>
    </w:p>
    <w:p>
      <w:r>
        <w:t xml:space="preserve">Wasserbuch wird vom Wasserwirtschaftsamt (Wasserbuchbehörde) geführt. Für jedes</w:t>
      </w:r>
    </w:p>
    <w:p>
      <w:r>
        <w:t xml:space="preserve">einzutragende Rechtsverhältnis ist ein Wasserbuchblatt anzulegen. Jedes</w:t>
      </w:r>
    </w:p>
    <w:p>
      <w:r>
        <w:t xml:space="preserve">Wasserbuchblatt erhält eine eigenständige Wasserbuchblattnummer. Die</w:t>
      </w:r>
    </w:p>
    <w:p>
      <w:r>
        <w:t xml:space="preserve">Wasserbuchblattnummern werden durch das Wasserwirtschaftsamt vergeben.</w:t>
      </w:r>
    </w:p>
    <w:p>
      <w:r>
        <w:t xml:space="preserve">(3) Die</w:t>
      </w:r>
    </w:p>
    <w:p>
      <w:r>
        <w:t xml:space="preserve">Eintragungen, Änderungen und Löschungen wasserrechtlicher Entscheidungen sollen</w:t>
      </w:r>
    </w:p>
    <w:p>
      <w:r>
        <w:t xml:space="preserve">durch die für die Entscheidung zuständige Wasserbehörde und bei Betrieben, die</w:t>
      </w:r>
    </w:p>
    <w:p>
      <w:r>
        <w:t xml:space="preserve">der Bergaufsicht unterliegen, durch das Landesamt für</w:t>
      </w:r>
    </w:p>
    <w:p>
      <w:r>
        <w:t xml:space="preserve">Bergbau, Geologie und Rohstoffe erfolgen. Soweit die zuständige</w:t>
      </w:r>
    </w:p>
    <w:p>
      <w:r>
        <w:t xml:space="preserve">Wasserbehörde oder das Landesamt für Bergbau, Geologie und Rohstoffe die</w:t>
      </w:r>
    </w:p>
    <w:p>
      <w:r>
        <w:t xml:space="preserve">Eintragungen, Änderungen und Löschungen nicht selbstständig vornehmen kann,</w:t>
      </w:r>
    </w:p>
    <w:p>
      <w:r>
        <w:t xml:space="preserve">übermittelt sie die Entscheidung sowie das durch die oberste Wasserbehörde</w:t>
      </w:r>
    </w:p>
    <w:p>
      <w:r>
        <w:t xml:space="preserve">vorgegebene Formular zur Eintragung unverzüglich nach Bestandskraft oder mit</w:t>
      </w:r>
    </w:p>
    <w:p>
      <w:r>
        <w:t xml:space="preserve">deren Vollziehbarkeit dem Wasserwirtschaftsamt zur Eintragung. Eine</w:t>
      </w:r>
    </w:p>
    <w:p>
      <w:r>
        <w:t xml:space="preserve">Bescheinigung der Bestandskraft ist anzufügen beziehungsweise nachzureichen.</w:t>
      </w:r>
    </w:p>
    <w:p>
      <w:r>
        <w:t xml:space="preserve">(4) Wird</w:t>
      </w:r>
    </w:p>
    <w:p>
      <w:r>
        <w:t xml:space="preserve">die wasserrechtliche Zulassung in einer nach anderen Rechtsvorschriften</w:t>
      </w:r>
    </w:p>
    <w:p>
      <w:r>
        <w:t xml:space="preserve">ergangenen Zulassung konzentriert und ist die Zulassungsbehörde nicht zugleich</w:t>
      </w:r>
    </w:p>
    <w:p>
      <w:r>
        <w:t xml:space="preserve">eine Wasserbehörde oder das Landesamt für Bergbau, Geologie und Rohstoffe,</w:t>
      </w:r>
    </w:p>
    <w:p>
      <w:r>
        <w:t xml:space="preserve">veranlasst die Zulassungsbehörde die Eintragung und Übermittlung der in Absatz 3</w:t>
      </w:r>
    </w:p>
    <w:p>
      <w:r>
        <w:t xml:space="preserve">benannten Unterlagen über die für die konzentrierte wasserrechtliche Zulassung</w:t>
      </w:r>
    </w:p>
    <w:p>
      <w:r>
        <w:t xml:space="preserve">ansonsten zuständige Wasserbehörde.</w:t>
      </w:r>
    </w:p>
    <w:p>
      <w:r>
        <w:t xml:space="preserve">(5) Änderungen</w:t>
      </w:r>
    </w:p>
    <w:p>
      <w:r>
        <w:t xml:space="preserve">oder Löschungen der Eintragungen sind nur durch die zuständigen Wasserbehörden,</w:t>
      </w:r>
    </w:p>
    <w:p>
      <w:r>
        <w:t xml:space="preserve">das Landesamt für Bergbau, Geologie und Rohstoffe oder das Wasserwirtschaftsamt</w:t>
      </w:r>
    </w:p>
    <w:p>
      <w:r>
        <w:t xml:space="preserve">zulässig.</w:t>
      </w:r>
    </w:p>
    <w:p>
      <w:r>
        <w:t xml:space="preserve">(6) Für jede Änderung</w:t>
      </w:r>
    </w:p>
    <w:p>
      <w:r>
        <w:t xml:space="preserve">eines Wasserrechts wird eine neue Version des Datensatzes unter der nach</w:t>
      </w:r>
    </w:p>
    <w:p>
      <w:r>
        <w:t xml:space="preserve">Absatz 2 vergebenen Wasserbuchnummer angelegt.</w:t>
      </w:r>
    </w:p>
    <w:p>
      <w:r>
        <w:t xml:space="preserve">(7) Alte Rechte und alte</w:t>
      </w:r>
    </w:p>
    <w:p>
      <w:r>
        <w:t xml:space="preserve">Befugnisse, deren Rechtsbestand noch nicht nachgewiesen ist, sind bei der</w:t>
      </w:r>
    </w:p>
    <w:p>
      <w:r>
        <w:t xml:space="preserve">Eintragung als „behauptete Rechte und Befugnisse“ zu kennzeichnen.</w:t>
      </w:r>
    </w:p>
    <w:p>
      <w:r>
        <w:rPr>
          <w:color w:val="555555"/>
          <w:sz w:val="17"/>
        </w:rPr>
        <w:t xml:space="preserve">Zitiervorschlag: § 2 BbgWaBuV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https://recht.nulegal.eu/gesetze/BbgWaBuV/2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