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BbgWaBuV (Brandenburg) — Eintragungspflichtige wasserrechtliche Entscheidungen und Rechtsverhältnisse,Grundlage der Eintragung</w:t>
      </w:r>
    </w:p>
    <w:p>
      <w:r>
        <w:rPr>
          <w:color w:val="555555"/>
          <w:sz w:val="18"/>
        </w:rPr>
        <w:t xml:space="preserve">Brandenburgische Wasserbuchverordnung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</w:t>
      </w:r>
    </w:p>
    <w:p>
      <w:r>
        <w:t xml:space="preserve">das Wasserbuch sind die in § 87 Absatz 2 Satz 1 des Wasserhaushaltsgesetzes</w:t>
      </w:r>
    </w:p>
    <w:p>
      <w:r>
        <w:t xml:space="preserve">benannten Rechtsverhältnisse des Wasserrechts einzutragen.</w:t>
      </w:r>
    </w:p>
    <w:p>
      <w:r>
        <w:t xml:space="preserve">(2) Grundlage</w:t>
      </w:r>
    </w:p>
    <w:p>
      <w:r>
        <w:t xml:space="preserve">für die Eintragung ist der Wortlaut der Entscheidungen, der Inhalt der</w:t>
      </w:r>
    </w:p>
    <w:p>
      <w:r>
        <w:t xml:space="preserve">Verordnungen oder Karten, die Erklärung oder der Nachweis alter Rechte oder</w:t>
      </w:r>
    </w:p>
    <w:p>
      <w:r>
        <w:t xml:space="preserve">Befugnisse. Soweit die wasserrechtliche Entscheidung konzentriert wird, ist der</w:t>
      </w:r>
    </w:p>
    <w:p>
      <w:r>
        <w:t xml:space="preserve">das Wasserrecht betreffende Teil der Entscheidung Grundlage der Eintragung.</w:t>
      </w:r>
    </w:p>
    <w:p>
      <w:r>
        <w:t xml:space="preserve">(3) Die</w:t>
      </w:r>
    </w:p>
    <w:p>
      <w:r>
        <w:t xml:space="preserve">Eintragung erfolgt im Regelfall erst, wenn die wasserrechtliche Entscheidung</w:t>
      </w:r>
    </w:p>
    <w:p>
      <w:r>
        <w:t xml:space="preserve">bestandskräftig geworden ist. Wird die Eintragung auf Grund der erheblichen</w:t>
      </w:r>
    </w:p>
    <w:p>
      <w:r>
        <w:t xml:space="preserve">Auswirkungen und der Vollziehbarkeit vor diesem Zeitpunkt vorgenommen, ist die</w:t>
      </w:r>
    </w:p>
    <w:p>
      <w:r>
        <w:t xml:space="preserve">Eintragung als vorläufig zu kennzeichnen.</w:t>
      </w:r>
    </w:p>
    <w:p>
      <w:r>
        <w:t xml:space="preserve">(4) Rechtsverhältnisse</w:t>
      </w:r>
    </w:p>
    <w:p>
      <w:r>
        <w:t xml:space="preserve">von untergeordneter wasserwirtschaftlicher Bedeutung werden nicht eingetragen.</w:t>
      </w:r>
    </w:p>
    <w:p>
      <w:r>
        <w:t xml:space="preserve">Rechtsverhältnisse sind insbesondere von untergeordneter Bedeutung, wenn</w:t>
      </w:r>
    </w:p>
    <w:p>
      <w:r>
        <w:t xml:space="preserve">die Zulassung befristet für unter einem Jahr</w:t>
      </w:r>
    </w:p>
    <w:p>
      <w:r>
        <w:t xml:space="preserve">erteilt wird,</w:t>
      </w:r>
    </w:p>
    <w:p>
      <w:r>
        <w:t xml:space="preserve">das Entnehmen, Zutageleiten, Zutagefördern</w:t>
      </w:r>
    </w:p>
    <w:p>
      <w:r>
        <w:t xml:space="preserve">oder Ableiten von nicht mehr als 8 Kubikmeter Wasser täglich zugelassen</w:t>
      </w:r>
    </w:p>
    <w:p>
      <w:r>
        <w:t xml:space="preserve">wird,</w:t>
      </w:r>
    </w:p>
    <w:p>
      <w:r>
        <w:t xml:space="preserve">das Einleiten von gereinigtem Abwasser aus</w:t>
      </w:r>
    </w:p>
    <w:p>
      <w:r>
        <w:t xml:space="preserve">Kleinkläranlagen bis zu 8 Kubikmeter täglich zugelassen wird,</w:t>
      </w:r>
    </w:p>
    <w:p>
      <w:r>
        <w:t xml:space="preserve">das ortsnahe Versickern von</w:t>
      </w:r>
    </w:p>
    <w:p>
      <w:r>
        <w:t xml:space="preserve">Niederschlagswasser zugelassen wird oder</w:t>
      </w:r>
    </w:p>
    <w:p>
      <w:r>
        <w:t xml:space="preserve">die grundstücksbezogene Nutzung von Erdwärme</w:t>
      </w:r>
    </w:p>
    <w:p>
      <w:r>
        <w:t xml:space="preserve">erfolgt,</w:t>
      </w:r>
    </w:p>
    <w:p>
      <w:r>
        <w:t xml:space="preserve">und keine erheblichen</w:t>
      </w:r>
    </w:p>
    <w:p>
      <w:r>
        <w:t xml:space="preserve">Auswirkungen auf den Wasserhaushalt zu erwarten sind.</w:t>
      </w:r>
    </w:p>
    <w:p>
      <w:r>
        <w:rPr>
          <w:color w:val="555555"/>
          <w:sz w:val="17"/>
        </w:rPr>
        <w:t xml:space="preserve">Zitiervorschlag: § 1 BbgWaBuV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https://recht.nulegal.eu/gesetze/BbgWaBuV/1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