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BbgWPV (Brandenburg) — Anzeigepflicht der veröffentlichten Wärmepläne im Internet</w:t>
      </w:r>
    </w:p>
    <w:p>
      <w:r>
        <w:rPr>
          <w:color w:val="555555"/>
          <w:sz w:val="18"/>
        </w:rPr>
        <w:t xml:space="preserve">Brandenburgische Wärmeplanungsverordnung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planungsverantwortliche Stelle hat den nach § 23 Absatz 3 des Wärmeplanungsgesetzes im Internet veröffentlichten Wärmeplan dem für das Bauordnungsrecht zuständigen Ministerium unverzüglich und unter Angabe der Internetadresse anzuzeigen.</w:t>
      </w:r>
    </w:p>
    <w:p>
      <w:r>
        <w:t xml:space="preserve">(2) Die planungsverantwortliche Stelle kann das Brandenburgische Wärmekataster mit den nach § 11 Absatz 1 Nummer 2 und 3 des Wärmeplanungsgesetzes erhobenen anonymisierten Daten ergänzen.</w:t>
      </w:r>
    </w:p>
    <w:p>
      <w:r>
        <w:rPr>
          <w:color w:val="555555"/>
          <w:sz w:val="17"/>
        </w:rPr>
        <w:t xml:space="preserve">Zitiervorschlag: § 4 BbgWPV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https://recht.nulegal.eu/gesetze/BbgWPV/4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