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BbgWPV (Brandenburg) — Zuständigkeiten</w:t>
      </w:r>
    </w:p>
    <w:p>
      <w:r>
        <w:rPr>
          <w:color w:val="555555"/>
          <w:sz w:val="18"/>
        </w:rPr>
        <w:t xml:space="preserve">Brandenburgische Wärmeplanungsverordnung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Planungsverantwortliche Stellen nach dem Wärmeplanungsgesetz sind die Gemeinden des Landes Brandenburg. Die Gemeinden nehmen diese Aufgabe in eigener Verantwortung wahr.</w:t>
      </w:r>
    </w:p>
    <w:p>
      <w:r>
        <w:t xml:space="preserve">(2) Zuständige Stelle für die Entscheidung über die Ausweisung als Gebiet zum Neu- oder Ausbau von Wärmenetzen oder als Wasserstoffnetzausbaugebiet nach § 26 Absatz 1 des Wärmeplanungsgesetzes ist die planungsverantwortliche Stelle nach Absatz 1.</w:t>
      </w:r>
    </w:p>
    <w:p>
      <w:r>
        <w:t xml:space="preserve">(3) Für die Überwachung der Pflichten nach Teil 3 des Wärmeplanungsgesetzes ist das für Energie zuständige Ministerium zuständig.</w:t>
      </w:r>
    </w:p>
    <w:p>
      <w:r>
        <w:rPr>
          <w:color w:val="555555"/>
          <w:sz w:val="17"/>
        </w:rPr>
        <w:t xml:space="preserve">Zitiervorschlag: § 1 BbgWPV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https://recht.nulegal.eu/gesetze/BbgWPV/1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