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BbgWPGebO (Brandenburg) — Inkrafttreten</w:t>
      </w:r>
    </w:p>
    <w:p>
      <w:r>
        <w:rPr>
          <w:color w:val="555555"/>
          <w:sz w:val="18"/>
        </w:rPr>
        <w:t xml:space="preserve">Brandenburgische Wärmeplanungsgebührenordnung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Potsdam, den 8. August 2024</w:t>
      </w:r>
    </w:p>
    <w:p>
      <w:r>
        <w:t xml:space="preserve">Der Minister für Infrastruktur und Landesplanung</w:t>
      </w:r>
    </w:p>
    <w:p>
      <w:r>
        <w:t xml:space="preserve">Rainer Genilke</w:t>
      </w:r>
    </w:p>
    <w:p>
      <w:r>
        <w:rPr>
          <w:color w:val="555555"/>
          <w:sz w:val="17"/>
        </w:rPr>
        <w:t xml:space="preserve">Zitiervorschlag: § 3 BbgWPGebO (Brandenburg)</w:t>
      </w:r>
    </w:p>
    <w:p>
      <w:r>
        <w:rPr>
          <w:color w:val="555555"/>
          <w:sz w:val="17"/>
        </w:rPr>
        <w:t xml:space="preserve">Quelle: bravors, abgerufen 01.09.2026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https://recht.nulegal.eu/gesetze/BbgWPGebO/3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