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99a BbgWG (Brandenburg) — Kooperation und Information in den Flussgebietseinheiten (zu §§ 79 und 80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Wasserbehörde wird ermächtigt, durch Verwaltungsabkommen Einzelheiten der Koordinierung und Zusammenarbeit nach § 80 des Wasserhaushaltsgesetzes zu regeln.</w:t>
      </w:r>
    </w:p>
    <w:p>
      <w:r>
        <w:t xml:space="preserve">(2) Die Veröffentlichung der Bewertung, der Gefahren- und Risikokarten und der Risikomanagementpläne erfolgt durch Hinweis im Amtsblatt für Brandenburg auf die Internetseite, unter der die Bewertung, Karten und Pläne einsehbar sind. Die unteren Wasserbehörden haben jedem kostenlos Einsicht in die Pläne zu gewähren.</w:t>
      </w:r>
    </w:p>
    <w:p>
      <w:r>
        <w:rPr>
          <w:color w:val="555555"/>
          <w:sz w:val="17"/>
        </w:rPr>
        <w:t xml:space="preserve">Zitiervorschlag: § 99a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