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BbgWG (Brandenburg) — Grundsätze (zu § 67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Ausbaumaßnahmen müssen den im Maßnahmenprogramm, Bewirtschaftungsplan und Risikomanagementplan nach § 99 an den Gewässerausbau gestellten Anforderungen entsprechen.</w:t>
      </w:r>
    </w:p>
    <w:p>
      <w:r>
        <w:t xml:space="preserve">(2) Das Wasserwirtschaftsamt hat ein Gewässer auszubauen, soweit der Ausbau zur Erreichung der Bewirtschaftungsziele, zur Umsetzung des Maßnahmenprogramms oder des Risikomanagementplans erforderlich ist. Die Ausbaulast ist eine öffentlich-rechtliche Verpflichtung; sie begründet keinen Rechtsanspruch Dritter gegen den Träger der Ausbaulast.</w:t>
      </w:r>
    </w:p>
    <w:p>
      <w:r>
        <w:rPr>
          <w:color w:val="555555"/>
          <w:sz w:val="17"/>
        </w:rPr>
        <w:t xml:space="preserve">Zitiervorschlag: § 89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https://recht.nulegal.eu/gesetze/BbgWG/89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