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BbgWG (Brandenburg) — Qualifizierte Selbstüberwachung von Abwassereinleitungen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Wer Abwasser in ein Gewässer einleitet, ist verpflichtet, das Abwasser auf seine Kosten durch zugelassene Stellen beproben und untersuchen zu lassen. Durch Rechtsverordnung gemäß § 61 Absatz 1 und 3 des Wasserhaushaltsgesetzes und gemäß § 2 kann geregelt werden, unter welchen Voraussetzungen und in welchem Umfang die Überwachung abweichend von Satz 1 durch fachkundiges Personal erfolgen kann.</w:t>
      </w:r>
    </w:p>
    <w:p>
      <w:r>
        <w:t xml:space="preserve">(2) Die Untersuchungsergebnisse sind vom Abwassereinleiter für die Dauer von zwei festgelegten Überwachungsintervallen, mindestens aber drei Jahre aufzubewahren und auf Anforderung der Wasserbehörde vorzulegen.</w:t>
      </w:r>
    </w:p>
    <w:p>
      <w:r>
        <w:rPr>
          <w:color w:val="555555"/>
          <w:sz w:val="17"/>
        </w:rPr>
        <w:t xml:space="preserve">Zitiervorschlag: § 73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https://recht.nulegal.eu/gesetze/BbgWG/73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