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BbgWG (Brandenburg) — Wasserversorgungsplan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Wasserwirtschaftsamt stellt unter Beteiligung der Gemeinden, der Träger öffentlicher Belange und betroffener Behörden einen flächendeckenden Plan auf, der Möglichkeiten zur Sicherstellung der öffentlichen Wasserversorgung ausweist und der insbesondere dem Zweck dient, einen Ausgleich zwischen Wasserüberschuss- und Wassermangelgebieten herbeizuführen. Der Plan besteht aus zeichnerischen und textlichen Darstellungen. Er kann in räumlichen und sachlichen Teilabschnitten aufgestellt werden.</w:t>
      </w:r>
    </w:p>
    <w:p>
      <w:r>
        <w:t xml:space="preserve">(2) In dem Plan sind die Wassergewinnungsgebiete mit ihrem Wasserdargebot, die Versorgungsräume und deren Zuordnung zueinander sowie die Schutzzonen der Wasserschutzgebiete und einzelne erforderliche Maßnahmen auszuweisen.</w:t>
      </w:r>
    </w:p>
    <w:p>
      <w:r>
        <w:rPr>
          <w:color w:val="555555"/>
          <w:sz w:val="17"/>
        </w:rPr>
        <w:t xml:space="preserve">Zitiervorschlag: § 63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