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BbgWG (Brandenburg) — Eigentumsgrenzen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Ist ein Gewässerbett ein selbständiges Grundstück, so wird die Eigentumsgrenze zwischen dem Gewässerbett und den Ufergrundstücken durch die Uferlinie bestimmt.</w:t>
      </w:r>
    </w:p>
    <w:p>
      <w:r>
        <w:t xml:space="preserve">(2) Ist ein Gewässerbett kein selbständiges Grundstück und gehören die Ufergrundstücke verschiedenen Eigentümern, so ist vorbehaltlich abweichender privatrechtlicher Regelungen Eigentumsgrenze:</w:t>
      </w:r>
    </w:p>
    <w:p>
      <w:r>
        <w:t xml:space="preserve">für gegenüberliegende Ufergrundstücke eine durch die Mitte des Gewässers bei Mittelwasserstand zu ziehende Linie;</w:t>
      </w:r>
    </w:p>
    <w:p>
      <w:r>
        <w:t xml:space="preserve">für nebeneinander liegende Ufergrundstücke die Senkrechte von dem Endpunkt der Landgrenze auf die unter Nummer 1 bezeichnete Mittellinie;</w:t>
      </w:r>
    </w:p>
    <w:p>
      <w:r>
        <w:t xml:space="preserve">für auf der anderen Seite des Gewässers sich fortsetzende Grundstücke die Verbindungslinie der Endpunkte der Landgrenzen am Gewässer.</w:t>
      </w:r>
    </w:p>
    <w:p>
      <w:r>
        <w:rPr>
          <w:color w:val="555555"/>
          <w:sz w:val="17"/>
        </w:rPr>
        <w:t xml:space="preserve">Zitiervorschlag: § 6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