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BbgWG (Brandenburg) — Bewirtschaftung des Grundwassers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beabsichtigten Grundwasserentnahmen von über 1 000 Kubikmeter je Tag in einem Fassungsgebiet oder wenn eine Gefährdung der Bewirtschaftungsziele zu besorgen ist, hat der Antragsteller vor der Grundwasserentnahme einen Grundwasservorratsnachweis zu erbringen. Die Wasserbehörde kann von diesem Erfordernis absehen, soweit ihr die erforderlichen Daten vorliegen.</w:t>
      </w:r>
    </w:p>
    <w:p>
      <w:r>
        <w:t xml:space="preserve">(2) Bei der Benutzung von Grundwasser, das für die derzeit bestehende oder künftige öffentliche Wasserversorgung besonders geeignet ist, genießt die öffentliche Versorgung Vorrang vor anderen Benutzungen, soweit nicht überwiegende Belange des Wohls der Allgemeinheit oder im Einklang damit auch der Nutzen einzelner etwas anderes erfordern.</w:t>
      </w:r>
    </w:p>
    <w:p>
      <w:r>
        <w:t xml:space="preserve">(3) Die Versiegelung des Bodens oder andere Beeinträchtigungen der Versickerung zur Grundwasserneubildung dürfen nur soweit erfolgen, wie dies unvermeidbar ist. Insbesondere sind Feuchtgebiete oder bedeutsame Grundwasseranreicherungsgebiete von baulichen Anlagen freizuhalten, soweit nicht andere überwiegende Belange des Wohls der Allgemeinheit etwas anderes erfordern.</w:t>
      </w:r>
    </w:p>
    <w:p>
      <w:r>
        <w:t xml:space="preserve">(4) Soweit eine Verunreinigung des Grundwassers nicht zu besorgen ist und sonstige Belange nicht entgegenstehen, ist Niederschlagswasser zu versickern. Die Gemeinden können im Einvernehmen mit der Wasserbehörde durch Satzung vorsehen, dass Niederschlagswasser auf den Grundstücken, auf denen es anfällt, unter den Voraussetzungen des Satzes 1 vom Grundstückseigentümer, Erbbauberechtigten oder Nutzer der Grundstücke nach § 9 des Sachenrechtsbereinigungsgesetzes versickert werden muss. Diese Verpflichtung kann auch als Festsetzung in einen Bebauungsplan aufgenommen werden; in diesem Fall richtet sich das Verfahren nach den Vorschriften des Baugesetzbuches, die Wasserbehörde ist zu beteiligen. Niederschlagswasser von dem öffentlichen Verkehr gewidmeten Flächen ist zu fassen oder unter den Voraussetzungen nach Satz 1 oberflächig zu versickern.</w:t>
      </w:r>
    </w:p>
    <w:p>
      <w:r>
        <w:t xml:space="preserve">(5) Wassergefährdende Stoffe für landwirtschaftliche, gärtnerische und forstwirtschaftliche Zwecke sowie zur Bodenverbesserung dürfen nur so auf den Boden auf- und in den Boden eingebracht werden, dass dabei keine Beeinträchtigung des Grundwassers zu besorgen ist. Die Menge dieser Stoffe ist so zu dosieren, dass sie von Pflanzen aufgenommen, im Boden unschädlich umgewandelt oder festgelegt werden können. Weitergehende Bestimmungen anderer Rechtsvorschriften bleiben unberührt.</w:t>
      </w:r>
    </w:p>
    <w:p>
      <w:r>
        <w:rPr>
          <w:color w:val="555555"/>
          <w:sz w:val="17"/>
        </w:rPr>
        <w:t xml:space="preserve">Zitiervorschlag: § 54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