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BbgWG (Brandenburg) — Eigentum an Gewässern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 Gunsten des Landes ist die Enteignung von Gewässern I. Ordnung zulässig, soweit sie nicht dem Bund gehören. Das Enteignungsgesetz des Landes Brandenburg ist anzuwenden.</w:t>
      </w:r>
    </w:p>
    <w:p>
      <w:r>
        <w:t xml:space="preserve">(2) Das Grundeigentum umfasst nicht das Grundwasser und das Wasservolumen eines oberirdischen Gewässers.</w:t>
      </w:r>
    </w:p>
    <w:p>
      <w:r>
        <w:rPr>
          <w:color w:val="555555"/>
          <w:sz w:val="17"/>
        </w:rPr>
        <w:t xml:space="preserve">Zitiervorschlag: § 5 BbgWG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