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36 BbgWG (Brandenburg) — Verzicht</w:t>
      </w:r>
    </w:p>
    <w:p>
      <w:r>
        <w:rPr>
          <w:color w:val="555555"/>
          <w:sz w:val="18"/>
        </w:rPr>
        <w:t xml:space="preserve">Brandenburgisches Wassergesetz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30.07.2026 (konsolidierte Textfassung, kein amtliches Inkrafttretensdatum)</w:t>
      </w:r>
    </w:p>
    <w:p>
      <w:r>
        <w:t xml:space="preserve">Auf eine Erlaubnis, eine Bewilligung, ein altes Recht oder eine Befugnis kann der Inhaber schriftlich, elektronisch oder zur Niederschrift bei der Wasserbehörde verzichten.</w:t>
      </w:r>
    </w:p>
    <w:p>
      <w:r>
        <w:rPr>
          <w:color w:val="555555"/>
          <w:sz w:val="17"/>
        </w:rPr>
        <w:t xml:space="preserve">Zitiervorschlag: § 36 BbgWG (Brandenburg)</w:t>
      </w:r>
    </w:p>
    <w:p>
      <w:r>
        <w:rPr>
          <w:color w:val="555555"/>
          <w:sz w:val="17"/>
        </w:rPr>
        <w:t xml:space="preserve">Quelle: BRAVORS, abgerufen 29.07.2026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https://recht.nulegal.eu/gesetze/BbgWG/36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