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BbgWG (Brandenburg) — Erfordernisse für den Antrag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Erlaubnis- und Bewilligungsanträge sind mit den zur Beurteilung des gesamten Vorhabens erforderlichen Unterlagen, wie zum Beispiel Zeichnungen, Nachweise und Beschreibungen, bei der zuständigen Wasserbehörde einzureichen. EMAS-Standorte im Sinne von § 3 Nummer 12 des Wasserhaushaltsgesetzes können die zur Erfüllung der Anforderungen der Verordnung (EG) Nr. 1221/2009 erstellten Unterlagen zum Inhalt der Antragsunterlagen machen, soweit dadurch die Anforderungen nach Satz 1 gleichwertig erfüllt werden.</w:t>
      </w:r>
    </w:p>
    <w:p>
      <w:r>
        <w:t xml:space="preserve">(2) Offensichtlich unzulässige Anträge können zurückgewiesen werden. Dies gilt auch für mangelhafte oder unvollständige Anträge, wenn der Antragsteller sie nicht innerhalb einer ihm gesetzten angemessenen Frist verbessert oder ergänzt.</w:t>
      </w:r>
    </w:p>
    <w:p>
      <w:r>
        <w:rPr>
          <w:color w:val="555555"/>
          <w:sz w:val="17"/>
        </w:rPr>
        <w:t xml:space="preserve">Zitiervorschlag: § 35 BbgWG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