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BbgWG (Brandenburg) — Einteilung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Oberirdische Gewässer werden nach ihrer wasserwirtschaftlichen Bedeutung für den gesamten Wasserhaushalt, für Natur- und Gewässerschutz sowie für die Gewässernutzung eingeteilt in Gewässer I. Ordnung und Gewässer II. Ordnung. Gewässer I. Ordnung sind die Bundeswasserstraßen und die nach Absatz 2 festgelegten Gewässer. Gewässer II. Ordnung sind alle anderen oberirdischen Gewässer.</w:t>
      </w:r>
    </w:p>
    <w:p>
      <w:r>
        <w:t xml:space="preserve">(2) Das für Wasserwirtschaft zuständige Mitglied der Landesregierung wird ermächtigt, durch Rechtsverordnung Gewässer I. Ordnung festzulegen, die nicht Bundeswasserstraßen sind.</w:t>
      </w:r>
    </w:p>
    <w:p>
      <w:r>
        <w:rPr>
          <w:color w:val="555555"/>
          <w:sz w:val="17"/>
        </w:rPr>
        <w:t xml:space="preserve">Zitiervorschlag: § 3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