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BbgWG (Brandenburg) — Erteilung und Widerruf der Erlaubnis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Erlaubnis für die Entnahme von Wasser darf, auch wenn keine Versagungsgründe nach § 12 Absatz 1 des Wasserhaushaltsgesetzes vorliegen, gemäß §§ 12 und 13 des Wasserhaushaltsgesetzes insbesondere nur erteilt werden, wenn</w:t>
      </w:r>
    </w:p>
    <w:p>
      <w:r>
        <w:t xml:space="preserve">der Antragsteller nachweist, dass er den Verbrauch und den Verlust von Wasser so gering wie möglich hält und den Grundsatz der Wasserwirtschaft nach § 50 Absatz 2 des Wasserhaushaltsgesetzes beachtet,</w:t>
      </w:r>
    </w:p>
    <w:p>
      <w:r>
        <w:t xml:space="preserve">im Fall der Einleitung von entnommenem Wasser keine nachteiligen Wirkungen für das Wohl der Allgemeinheit hervorgerufen werden, die nicht ausgeglichen werden können,</w:t>
      </w:r>
    </w:p>
    <w:p>
      <w:r>
        <w:t xml:space="preserve">im Fall von Grundwasserabsenkungen das entnommene, nicht verunreinigte Wasser, soweit zumutbar und wasserwirtschaftlich geboten, dem Grundwasserleiter oder auf wasserwirtschaftlich gleichwirksame Weise dem Wasserhaushalt unmittelbar wieder zugeführt wird sowie</w:t>
      </w:r>
    </w:p>
    <w:p>
      <w:r>
        <w:t xml:space="preserve">der Gewässerbenutzer auch die Beseitigungspflicht für das aus der Wasserentnahme herrührende Abwasser innehat, die Einleitung dieses Abwassers entsprechend den Anforderungen des § 65 Absatz 1 zugelassen ist oder wird.</w:t>
      </w:r>
    </w:p>
    <w:p>
      <w:r>
        <w:t xml:space="preserve">(2) Die Erlaubnis kann gemäß § 18 Absatz 1 des Wasserhaushaltsgesetzes widerrufen werden, insbesondere wenn</w:t>
      </w:r>
    </w:p>
    <w:p>
      <w:r>
        <w:t xml:space="preserve">von der weiteren Benutzung eine Gefährdung der Bewirtschaftungsziele oder eine Beeinträchtigung des Wohls der Allgemeinheit zu erwarten ist, die nicht durch nachträgliche Anordnungen verhütet oder ausgeglichen werden kann,</w:t>
      </w:r>
    </w:p>
    <w:p>
      <w:r>
        <w:t xml:space="preserve">der Inhaber der Erlaubnis den Zweck oder den Umfang der Benutzung geändert oder Nebenbestimmungen nicht erfüllt hat,</w:t>
      </w:r>
    </w:p>
    <w:p>
      <w:r>
        <w:t xml:space="preserve">die Benutzung des Gewässers auch durch Mitbenutzung anderer vorhandener Anlagen, insbesondere öffentlicher Anlagen, möglich ist oder</w:t>
      </w:r>
    </w:p>
    <w:p>
      <w:r>
        <w:t xml:space="preserve">die Bewirtschaftungsziele eines Bewirtschaftungsplans oder eines Maßnahmenprogramms nicht auf andere Weise erreicht werden können.</w:t>
      </w:r>
    </w:p>
    <w:p>
      <w:r>
        <w:rPr>
          <w:color w:val="555555"/>
          <w:sz w:val="17"/>
        </w:rPr>
        <w:t xml:space="preserve">Zitiervorschlag: § 29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