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BbgWG (Brandenburg) — Verhütung von Gewässerschäden; Meldepflicht</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Sind wassergefährdende Stoffe aus ortsfesten oder beweglichen Behältern, sonstigen Anlagen oder aus Wasser-, Land- oder Luftfahrzeugen in ein Gewässer oder eine Entwässerungsleitung gelangt oder drohen sie dorthin zu gelangen, so sind der Eigentümer oder Besitzer der Anlage oder des Fahrzeuges, der Eigentümer oder Besitzer des wassergefährdenden Stoffes sowie derjenige, der die Anlage betreibt, unterhält oder überwacht oder das Fahrzeug führt, verpflichtet, unverzüglich die erforderlichen Maßnahmen zu treffen, um eine schädliche Verunreinigung des Wassers oder eine sonstige nachteilige Veränderung seiner Eigenschaften zu verhindern bzw. unverzüglich zu beseitigen.</w:t>
      </w:r>
    </w:p>
    <w:p>
      <w:r>
        <w:t xml:space="preserve">(2) Das Austreten wassergefährdender Stoffe ist unverzüglich der nächsten Polizeidienststelle, der Feuerwehr oder der Wasserbehörde zu melden, wenn eine Verunreinigung oder Gefährdung eines Gewässers oder das Eindringen in die Kanalisation nicht auszuschließen ist. Die Verpflichtung zur Meldung besteht auch bei einem begründeten Verdacht, dass wassergefährdende Stoffe mit den in Satz 1 genannten Folgen ausgetreten sind oder auszutreten drohen. Meldepflichtig ist neben den im Absatz 1 bezeichneten Personen auch derjenige, der die Anlage oder das Fahrzeug befüllt oder entleert, instand setzt, reinigt oder prüft sowie derjenige, der das Austreten wassergefährdender Stoffe verursacht hat.</w:t>
      </w:r>
    </w:p>
    <w:p>
      <w:r>
        <w:t xml:space="preserve">(3) Wird bei Baugrundsondierungen, Baumaßnahmen, Ausschachtungen oder ähnlichen Eingriffen in den Untergrund das Vorhandensein möglicher wassergefährdender Stoffe im Grundwasser festgestellt, so ist dies unverzüglich der nächsten Polizeidienststelle, der Feuerwehr oder der Wasserbehörde zu melden. Meldepflichtig sind der Grundstückseigentümer, der Grundstücksbesitzer, der Bauherr, der Bauleiter und der Unternehmer.</w:t>
      </w:r>
    </w:p>
    <w:p>
      <w:r>
        <w:t xml:space="preserve">(4) Ist durch das Aus- oder Auftreten wassergefährdender Stoffe die Verunreinigung oder sonstige nachteilige Veränderung eines Gewässers eingetreten oder zu besorgen, so kann die Wasserbehörde die zur Untersuchung und Sanierung des Gewässers und des Bodens erforderlichen Anordnungen treffen.</w:t>
      </w:r>
    </w:p>
    <w:p>
      <w:r>
        <w:rPr>
          <w:color w:val="555555"/>
          <w:sz w:val="17"/>
        </w:rPr>
        <w:t xml:space="preserve">Zitiervorschlag: § 21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