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BbgWG (Brandenburg) — Heilquellenschutz (zu § 53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 ist</w:t>
      </w:r>
    </w:p>
    <w:p>
      <w:r>
        <w:t xml:space="preserve">für die staatliche Anerkennung einer Heilquelle das für das Gesundheitswesen zuständige Mitglied der Landesregierung;</w:t>
      </w:r>
    </w:p>
    <w:p>
      <w:r>
        <w:t xml:space="preserve">für den Erlass einer Rechtsverordnung über das Schutzgebiet das für die Wasserwirtschaft zuständige Mitglied der Landesregierung.</w:t>
      </w:r>
    </w:p>
    <w:p>
      <w:r>
        <w:t xml:space="preserve">Die §§ 16 und 17 gelten für Satz 1 Nummer 2 entsprechend.</w:t>
      </w:r>
    </w:p>
    <w:p>
      <w:r>
        <w:rPr>
          <w:color w:val="555555"/>
          <w:sz w:val="17"/>
        </w:rPr>
        <w:t xml:space="preserve">Zitiervorschlag: § 18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