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153 BbgWG (Brandenburg) — Verwaltungsvorschriften</w:t>
      </w:r>
    </w:p>
    <w:p>
      <w:r>
        <w:rPr>
          <w:color w:val="555555"/>
          <w:sz w:val="18"/>
        </w:rPr>
        <w:t xml:space="preserve">Brandenburgisches Wassergesetz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nach dem Wasserhaushaltsgesetz und diesem Gesetz erforderlichen Verwaltungsvorschriften erlässt das für die Wasserwirtschaft zuständige Mitglied der Landesregierung, soweit nichts anderes bestimmt ist.</w:t>
      </w:r>
    </w:p>
    <w:p>
      <w:r>
        <w:rPr>
          <w:color w:val="555555"/>
          <w:sz w:val="17"/>
        </w:rPr>
        <w:t xml:space="preserve">Zitiervorschlag: § 153 BbgWG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https://recht.nulegal.eu/gesetze/BbgWG/153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