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BbgWG (Brandenburg) — Heilquellenschutz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nach bisherigem Recht anerkannten Quellen gelten als staatlich anerkannte Heilquellen im Sinne dieses Gesetzes.</w:t>
      </w:r>
    </w:p>
    <w:p>
      <w:r>
        <w:t xml:space="preserve">(2) Die nach bisherigem Recht festgesetzten Quellenschutzgebiete gelten als Heilquellenschutzgebiete im Sinne dieses Gesetzes.</w:t>
      </w:r>
    </w:p>
    <w:p>
      <w:r>
        <w:rPr>
          <w:color w:val="555555"/>
          <w:sz w:val="17"/>
        </w:rPr>
        <w:t xml:space="preserve">Zitiervorschlag: § 151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