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150 BbgWG (Brandenburg) — Hochwassergebiete, Überschwemmungsgebiete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nach bisherigen Rechtsvorschriften ergangenen Festlegungen von Hochwassergebieten bleiben als Rechtsverordnung bestehen. Das für Wasserwirtschaft zuständige Mitglied der Landesregierung wird ermächtigt, durch Rechtsverordnung diese Festlegungen aufzuheben, soweit sie nicht gemäß § 100 Absatz 6 außer Kraft getreten sind.</w:t>
      </w:r>
    </w:p>
    <w:p>
      <w:r>
        <w:t xml:space="preserve">(2) Überschwemmungsgebiete, die vor dem 5. Dezember 2017 gemäß § 100 in Verbindung mit der Verordnung zur Bestimmung hochwassergeneigter Gewässer festgesetzt wurden, gelten als festgesetzte Überschwemmungsgebiete im Sinne von § 100.</w:t>
      </w:r>
    </w:p>
    <w:p>
      <w:r>
        <w:rPr>
          <w:color w:val="555555"/>
          <w:sz w:val="17"/>
        </w:rPr>
        <w:t xml:space="preserve">Zitiervorschlag: § 150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https://recht.nulegal.eu/gesetze/BbgWG/150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