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BbgWG (Brandenburg) — Gewässerentwicklung durch Gewässerunterhaltung</w:t>
      </w:r>
    </w:p>
    <w:p>
      <w:r>
        <w:rPr>
          <w:color w:val="555555"/>
          <w:sz w:val="18"/>
        </w:rPr>
        <w:t xml:space="preserve">Brandenburgisches Wassergesetz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Als natürliche Ereignisse im Sinne der §§ 9 bis 12 gelten auch morphologische Gewässerveränderungen im Zuge der Entwicklung oberirdischer Gewässer gemäß § 39 Absatz 1 des Wasserhaushaltsgesetzes.</w:t>
      </w:r>
    </w:p>
    <w:p>
      <w:r>
        <w:rPr>
          <w:color w:val="555555"/>
          <w:sz w:val="17"/>
        </w:rPr>
        <w:t xml:space="preserve">Zitiervorschlag: § 14 BbgWG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https://recht.nulegal.eu/gesetze/BbgWG/14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