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BbgWG (Brandenburg) — Wasserbehörden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Wasserbehörden sind</w:t>
      </w:r>
    </w:p>
    <w:p>
      <w:r>
        <w:t xml:space="preserve">das für die Wasserwirtschaft zuständige Ministerium als oberste Wasserbehörde,</w:t>
      </w:r>
    </w:p>
    <w:p>
      <w:r>
        <w:t xml:space="preserve">das Landesamt für Umwelt als obere Wasserbehörde,</w:t>
      </w:r>
    </w:p>
    <w:p>
      <w:r>
        <w:t xml:space="preserve">die unteren Wasserbehörden.</w:t>
      </w:r>
    </w:p>
    <w:p>
      <w:r>
        <w:t xml:space="preserve">(2) Die Landkreise und kreisfreien Städte nehmen die Aufgaben der unteren Wasserbehörde als Pflichtaufgaben zur Erfüllung nach Weisung wahr.</w:t>
      </w:r>
    </w:p>
    <w:p>
      <w:r>
        <w:t xml:space="preserve">(3) Die Sonderaufsicht gegenüber den Landkreisen und kreisfreien Städten wird von der obersten Wasserbehörde wahrgenommen.</w:t>
      </w:r>
    </w:p>
    <w:p>
      <w:r>
        <w:t xml:space="preserve">(4) Die Befugnis der Sonderaufsichtsbehörde, besondere Weisungen zu erteilen, ist nicht auf den Bereich der Gefahrenabwehr beschränkt.</w:t>
      </w:r>
    </w:p>
    <w:p>
      <w:r>
        <w:rPr>
          <w:color w:val="555555"/>
          <w:sz w:val="17"/>
        </w:rPr>
        <w:t xml:space="preserve">Zitiervorschlag: § 124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