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BbgWG (Brandenburg) — Neues Gewässerbett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Hat sich ein Gewässer infolge natürlicher Ereignisse auf Dauer ein am Ort bisher nicht vorhandenes Bett geschaffen, so entspricht das Eigentum am neuen Gewässerbett</w:t>
      </w:r>
    </w:p>
    <w:p>
      <w:r>
        <w:t xml:space="preserve">bei neugebildeten stehenden Gewässern dem Eigentum der Grundstücke, die das neue Gewässerbett bilden;</w:t>
      </w:r>
    </w:p>
    <w:p>
      <w:r>
        <w:t xml:space="preserve">bei fließenden Gewässern, die nicht als selbständige Grundstücke ausgewiesen sind, dem Eigentum der Grundstücke, die das neue Gewässerbett bilden;</w:t>
      </w:r>
    </w:p>
    <w:p>
      <w:r>
        <w:t xml:space="preserve">bei fließenden Gewässern, die als selbständige Grundstücke ausgewiesen sind, dem Eigentum des bisherigen Gewässerbetts.</w:t>
      </w:r>
    </w:p>
    <w:p>
      <w:r>
        <w:rPr>
          <w:color w:val="555555"/>
          <w:sz w:val="17"/>
        </w:rPr>
        <w:t xml:space="preserve">Zitiervorschlag: § 12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