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114 BbgWG (Brandenburg) — Warn- und Alarmdienst, Information der Öffentlichkeit (zu § 79 des Wasserhaushaltsgesetzes)</w:t>
      </w:r>
    </w:p>
    <w:p>
      <w:r>
        <w:rPr>
          <w:color w:val="555555"/>
          <w:sz w:val="18"/>
        </w:rPr>
        <w:t xml:space="preserve">Brandenburgisches Wassergesetz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Das für die Wasserwirtschaft zuständige Mitglied der Landesregierung wird ermächtigt, im Einvernehmen mit dem für Inneres zuständigen Mitglied der Landesregierung durch Rechtsverordnung einen Warn- und Alarmdienst zum Schutz vor Hochwassergefahren sowie zur Übermittlung von Hochwassermeldungen einzurichten.</w:t>
      </w:r>
    </w:p>
    <w:p>
      <w:r>
        <w:t xml:space="preserve">(2) In der Rechtsverordnung werden die Meldestellen und das Meldeverfahren bestimmt sowie die Bedienung der Hochwasserschutzanlagen festgelegt.</w:t>
      </w:r>
    </w:p>
    <w:p>
      <w:r>
        <w:t xml:space="preserve">(3) Aus der Einrichtung des Warn- und Alarmdienstes können Dritte keine Ansprüche herleiten.</w:t>
      </w:r>
    </w:p>
    <w:p>
      <w:r>
        <w:t xml:space="preserve">(4) Warn- und Alarmpläne für länderübergreifende oberirdische Gewässer sind mit den angrenzenden Ländern abzustimmen.</w:t>
      </w:r>
    </w:p>
    <w:p>
      <w:r>
        <w:t xml:space="preserve">(5) Das Wasserwirtschaftsamt informiert die Öffentlichkeit in den betroffenen Gebieten regelmäßig über Hochwassergefahren, geeignete Vorsorgemaßnahmen und Verhaltensregeln.</w:t>
      </w:r>
    </w:p>
    <w:p>
      <w:r>
        <w:rPr>
          <w:color w:val="555555"/>
          <w:sz w:val="17"/>
        </w:rPr>
        <w:t xml:space="preserve">Zitiervorschlag: § 114 BbgWG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https://recht.nulegal.eu/gesetze/BbgWG/114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